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ХАНТЫ-МАНСИЙСКИЙ АВТОНОМНЫЙ ОКРУГ – ЮГРА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ХАНТЫ-МАНСИЙСКИЙ РАЙОН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zh-CN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zh-CN"/>
        </w:rPr>
        <w:t xml:space="preserve">ДУМА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zh-CN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РЕШЕНИЕ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00.00.2026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ab/>
      </w:r>
      <w:r>
        <w:rPr>
          <w:rFonts w:ascii="Times New Roman" w:hAnsi="Times New Roman" w:eastAsia="Times New Roman" w:cs="Times New Roman"/>
          <w:bCs/>
          <w:sz w:val="28"/>
          <w:szCs w:val="28"/>
        </w:rPr>
        <w:tab/>
      </w:r>
      <w:r>
        <w:rPr>
          <w:rFonts w:ascii="Times New Roman" w:hAnsi="Times New Roman" w:eastAsia="Times New Roman" w:cs="Times New Roman"/>
          <w:bCs/>
          <w:sz w:val="28"/>
          <w:szCs w:val="28"/>
        </w:rPr>
        <w:tab/>
      </w:r>
      <w:r>
        <w:rPr>
          <w:rFonts w:ascii="Times New Roman" w:hAnsi="Times New Roman" w:eastAsia="Times New Roman" w:cs="Times New Roman"/>
          <w:bCs/>
          <w:sz w:val="28"/>
          <w:szCs w:val="28"/>
        </w:rPr>
        <w:tab/>
      </w:r>
      <w:r>
        <w:rPr>
          <w:rFonts w:ascii="Times New Roman" w:hAnsi="Times New Roman" w:eastAsia="Times New Roman" w:cs="Times New Roman"/>
          <w:bCs/>
          <w:sz w:val="28"/>
          <w:szCs w:val="28"/>
        </w:rPr>
        <w:tab/>
      </w:r>
      <w:r>
        <w:rPr>
          <w:rFonts w:ascii="Times New Roman" w:hAnsi="Times New Roman" w:eastAsia="Times New Roman" w:cs="Times New Roman"/>
          <w:bCs/>
          <w:sz w:val="28"/>
          <w:szCs w:val="28"/>
        </w:rPr>
        <w:tab/>
      </w:r>
      <w:r>
        <w:rPr>
          <w:rFonts w:ascii="Times New Roman" w:hAnsi="Times New Roman" w:eastAsia="Times New Roman" w:cs="Times New Roman"/>
          <w:bCs/>
          <w:sz w:val="28"/>
          <w:szCs w:val="28"/>
        </w:rPr>
        <w:tab/>
      </w:r>
      <w:r>
        <w:rPr>
          <w:rFonts w:ascii="Times New Roman" w:hAnsi="Times New Roman" w:eastAsia="Times New Roman" w:cs="Times New Roman"/>
          <w:bCs/>
          <w:sz w:val="28"/>
          <w:szCs w:val="28"/>
        </w:rPr>
        <w:tab/>
      </w:r>
      <w:r>
        <w:rPr>
          <w:rFonts w:ascii="Times New Roman" w:hAnsi="Times New Roman" w:eastAsia="Times New Roman" w:cs="Times New Roman"/>
          <w:bCs/>
          <w:sz w:val="28"/>
          <w:szCs w:val="28"/>
        </w:rPr>
        <w:tab/>
      </w:r>
      <w:r>
        <w:rPr>
          <w:rFonts w:ascii="Times New Roman" w:hAnsi="Times New Roman" w:eastAsia="Times New Roman" w:cs="Times New Roman"/>
          <w:bCs/>
          <w:sz w:val="28"/>
          <w:szCs w:val="28"/>
        </w:rPr>
        <w:tab/>
      </w:r>
      <w:r>
        <w:rPr>
          <w:rFonts w:ascii="Times New Roman" w:hAnsi="Times New Roman" w:eastAsia="Times New Roman" w:cs="Times New Roman"/>
          <w:bCs/>
          <w:sz w:val="28"/>
          <w:szCs w:val="28"/>
        </w:rPr>
        <w:tab/>
        <w:t xml:space="preserve">№ 000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информации о результатах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деятельности муниципального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автономного учреждения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«Организационно-методический центр»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2025 год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осуществления контрольной деятельности Думы Ханты-Мансийского района, в соответствии со статьями 53-55 Регламента Думы Ханты-Мансийского района, утвержденного реше</w:t>
      </w:r>
      <w:r>
        <w:rPr>
          <w:rFonts w:ascii="Times New Roman" w:hAnsi="Times New Roman" w:cs="Times New Roman"/>
          <w:sz w:val="28"/>
          <w:szCs w:val="28"/>
        </w:rPr>
        <w:t xml:space="preserve">нием Думы Ханты-Мансийского района от 06.09.2016 № 615, заслушав информацию о результатах деятельности муниципального автономного учреждения «Организационно-методический центр» за 2025 год, руководствуясь частью 1 статьи 31 Устава Ханты-Мансийского района,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Дума Ханты-Мансийского района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РЕШИЛА: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5"/>
        <w:ind w:left="0"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Принять к сведению информацию о результатах деятельности муниципального автономного учреждения «Организационно-методический центр» за 2025 год согласно приложению к настоящему решению.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Думы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Ханты-Мансийского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Е.А. Данилова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00.00.2026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решению Думы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Ханты-Мансийского района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00.00.2026 № 000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результатах деятельности муниципального автономного учреждения «Организационно-методический центр» за 2025 год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Финансовое обеспечение деятельности муниципального автономного учреждения «Организационно-методический центр» (далее – учреждение) осуществляется за счёт средств бюджета Ханты-Мансийского района, выделенных на выполнение муниципального задания,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субсидии на иные цели, и средств,</w:t>
      </w:r>
      <w:r>
        <w:rPr>
          <w:rFonts w:ascii="Times New Roman" w:hAnsi="Times New Roman" w:cs="Times New Roman"/>
          <w:sz w:val="28"/>
          <w:szCs w:val="28"/>
        </w:rPr>
        <w:t xml:space="preserve"> полученных от иной приносящей доход деятельности.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Учреждение создано в целях формирования инф</w:t>
      </w:r>
      <w:r>
        <w:rPr>
          <w:rFonts w:ascii="Times New Roman" w:hAnsi="Times New Roman" w:cs="Times New Roman"/>
          <w:sz w:val="28"/>
          <w:szCs w:val="28"/>
        </w:rPr>
        <w:t xml:space="preserve">раструктуры поддержки субъектов малого и среднего предпринимательства, социально-ориентированных некоммерческих организаций, социального предпринимательства и содействия органам местного самоуправления Ханты - Мансийского района в оказании муниципальных ус</w:t>
      </w:r>
      <w:r>
        <w:rPr>
          <w:rFonts w:ascii="Times New Roman" w:hAnsi="Times New Roman" w:cs="Times New Roman"/>
          <w:sz w:val="28"/>
          <w:szCs w:val="28"/>
        </w:rPr>
        <w:t xml:space="preserve">луг в сферах занятости населения, развития малого и среднего предпринимательства, социального предпринимательства, развития социально ориентированных некоммерческих организаций, развитие ремесленнической деятельности на территории Ханты-Мансийского района.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Финансирование из бюджета Ханты-Мансийского района в 2025 году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(Субсидия на выполнение муниципального задания)</w:t>
      </w:r>
      <w:r>
        <w:rPr>
          <w:rFonts w:ascii="Times New Roman" w:hAnsi="Times New Roman" w:cs="Times New Roman"/>
          <w:sz w:val="28"/>
          <w:szCs w:val="28"/>
        </w:rPr>
        <w:t xml:space="preserve"> составило в сумме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– </w:t>
      </w:r>
      <w:bookmarkStart w:id="0" w:name="_Hlk199786062"/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24 633,5 </w:t>
      </w:r>
      <w:bookmarkEnd w:id="0"/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тыс. рублей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bookmarkStart w:id="1" w:name="_Hlk199786510"/>
      <w:r>
        <w:rPr>
          <w:rFonts w:ascii="Times New Roman" w:hAnsi="Times New Roman" w:cs="Times New Roman"/>
          <w:sz w:val="28"/>
          <w:szCs w:val="28"/>
        </w:rPr>
        <w:t xml:space="preserve">исполнение составило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24 633,5 </w:t>
      </w:r>
      <w:r>
        <w:rPr>
          <w:rFonts w:ascii="Times New Roman" w:hAnsi="Times New Roman" w:cs="Times New Roman"/>
          <w:sz w:val="28"/>
          <w:szCs w:val="28"/>
        </w:rPr>
        <w:t xml:space="preserve">тыс. рублей или 100%.</w:t>
      </w:r>
      <w:bookmarkEnd w:id="1"/>
      <w:r/>
      <w:r>
        <w:rPr>
          <w:rFonts w:ascii="Times New Roman" w:hAnsi="Times New Roman" w:cs="Times New Roman"/>
          <w:sz w:val="28"/>
          <w:szCs w:val="28"/>
        </w:rPr>
      </w:r>
    </w:p>
    <w:p>
      <w:pPr>
        <w:pStyle w:val="68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Финансирование из бюджета Ханты-Мансийского района, а также из окружного бюджета Ханты-Мансийского автономного округа – Югры на иные цели в 2024 году составило в сумме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51 222,1 тыс. рублей, </w:t>
      </w:r>
      <w:r>
        <w:rPr>
          <w:rFonts w:ascii="Times New Roman" w:hAnsi="Times New Roman" w:cs="Times New Roman"/>
          <w:sz w:val="28"/>
          <w:szCs w:val="28"/>
        </w:rPr>
        <w:t xml:space="preserve">исполнение составило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50 242,1 </w:t>
      </w:r>
      <w:r>
        <w:rPr>
          <w:rFonts w:ascii="Times New Roman" w:hAnsi="Times New Roman" w:cs="Times New Roman"/>
          <w:sz w:val="28"/>
          <w:szCs w:val="28"/>
        </w:rPr>
        <w:t xml:space="preserve">тыс. рублей или 98%.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Фактический доход от иной приносящей доход деятельности за 2025 год составил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3 475,3 </w:t>
      </w:r>
      <w:r>
        <w:rPr>
          <w:rFonts w:ascii="Times New Roman" w:hAnsi="Times New Roman" w:cs="Times New Roman"/>
          <w:sz w:val="28"/>
          <w:szCs w:val="28"/>
        </w:rPr>
        <w:t xml:space="preserve">тыс. рублей, или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82,0% от </w:t>
      </w:r>
      <w:r>
        <w:rPr>
          <w:rFonts w:ascii="Times New Roman" w:hAnsi="Times New Roman" w:cs="Times New Roman"/>
          <w:sz w:val="28"/>
          <w:szCs w:val="28"/>
        </w:rPr>
        <w:t xml:space="preserve">плановых показателей (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4 240, 0 </w:t>
      </w:r>
      <w:r>
        <w:rPr>
          <w:rFonts w:ascii="Times New Roman" w:hAnsi="Times New Roman" w:cs="Times New Roman"/>
          <w:sz w:val="28"/>
          <w:szCs w:val="28"/>
        </w:rPr>
        <w:t xml:space="preserve">тыс. руб.). Фактические расходы в 2025 году составили 4 218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,5 </w:t>
      </w:r>
      <w:r>
        <w:rPr>
          <w:rFonts w:ascii="Times New Roman" w:hAnsi="Times New Roman" w:cs="Times New Roman"/>
          <w:sz w:val="28"/>
          <w:szCs w:val="28"/>
        </w:rPr>
        <w:t xml:space="preserve">тыс. рублей (в том числе остаток на начало 2025г. 1 119,4 тыс. рублей) или 121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,4%</w:t>
      </w:r>
      <w:r>
        <w:rPr>
          <w:rFonts w:ascii="Times New Roman" w:hAnsi="Times New Roman" w:cs="Times New Roman"/>
          <w:sz w:val="28"/>
          <w:szCs w:val="28"/>
        </w:rPr>
        <w:t xml:space="preserve"> от дохода. Расходы на выплату заработной платы работникам учреждения из иной приносящей доход деятельности составили 1 291,7 тыс. рублей.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на 01.01.2026 штат сотрудников учреждения составляет 13,5 штатных единиц, которые содержатся за счет средств субсидии на выполнение муниципального задания.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Заработная плата работников учреждения рассчитывается и выплачивается на основании постановлен</w:t>
      </w:r>
      <w:r>
        <w:rPr>
          <w:rFonts w:ascii="Times New Roman" w:hAnsi="Times New Roman" w:cs="Times New Roman"/>
          <w:sz w:val="28"/>
          <w:szCs w:val="28"/>
        </w:rPr>
        <w:t xml:space="preserve">ия Администрации Ханты-Мансийского района от 21.06.2024 № 552 «Об утверждении Положения об определении размеров и условий оплаты труда руководителей и работников муниципальных автономных учреждений, подведомственных Администрации Ханты-Мансийского района» </w:t>
      </w:r>
      <w:r>
        <w:rPr>
          <w:rFonts w:ascii="Times New Roman" w:hAnsi="Times New Roman" w:cs="Times New Roman"/>
          <w:sz w:val="28"/>
          <w:szCs w:val="28"/>
        </w:rPr>
        <w:t xml:space="preserve">и по состоянию на 01.01.2026 составляет 102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,1 тыс.</w:t>
      </w:r>
      <w:r>
        <w:rPr>
          <w:rFonts w:ascii="Times New Roman" w:hAnsi="Times New Roman" w:cs="Times New Roman"/>
          <w:sz w:val="28"/>
          <w:szCs w:val="28"/>
        </w:rPr>
        <w:t xml:space="preserve"> рублей.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Уставом учреждение осуществляет свою деятельность на основании муниципального задания. В муниципальном задании на 202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год предусмотрены следующие муниципальные услуги: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информационная и консультационная поддержка субъектов малого и среднего предпринимательства, </w:t>
      </w:r>
      <w:r>
        <w:rPr>
          <w:rFonts w:ascii="Times New Roman" w:hAnsi="Times New Roman" w:cs="Times New Roman"/>
          <w:sz w:val="28"/>
          <w:szCs w:val="28"/>
        </w:rPr>
        <w:t xml:space="preserve">определено консультирование по вопросам поддержки, оказываемой в Ханты-Мансийском районе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программам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«Развитие агропромышленного комплекса Ханты-Мансийского района», «Содействие занятости населения Ханты-Мансийского района», «Устойчивое развитие коренных малочисленных н</w:t>
      </w:r>
      <w:r>
        <w:rPr>
          <w:rFonts w:ascii="Times New Roman" w:hAnsi="Times New Roman" w:cs="Times New Roman"/>
          <w:sz w:val="28"/>
          <w:szCs w:val="28"/>
        </w:rPr>
        <w:t xml:space="preserve">ародов Севера на территории Ханты-Мансийского района», «Развитие малого и среднего предпринимательства на территории Ханты-Мансийского района». Плановое количество получателей, обратившихся за получением муниципальной услуги, на отчетный период составляет </w:t>
      </w:r>
      <w:r>
        <w:rPr>
          <w:rFonts w:ascii="Times New Roman" w:hAnsi="Times New Roman" w:cs="Times New Roman"/>
          <w:sz w:val="28"/>
          <w:szCs w:val="28"/>
        </w:rPr>
        <w:t xml:space="preserve">– 912 единиц.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12 месяцев 202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года по факту получили </w:t>
      </w:r>
      <w:r>
        <w:rPr>
          <w:rFonts w:ascii="Times New Roman" w:hAnsi="Times New Roman" w:cs="Times New Roman"/>
          <w:sz w:val="28"/>
          <w:szCs w:val="28"/>
        </w:rPr>
        <w:t xml:space="preserve">912</w:t>
      </w:r>
      <w:r>
        <w:rPr>
          <w:rFonts w:ascii="Times New Roman" w:hAnsi="Times New Roman" w:cs="Times New Roman"/>
          <w:sz w:val="28"/>
          <w:szCs w:val="28"/>
        </w:rPr>
        <w:t xml:space="preserve"> услуг, что составляет 100 % выполнения от планового показателя, из которых: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субъекты малого и среднего предпринимательства, зарегистрированные и осуществляющие свою деятельность на территории Ханты-Мансийского района;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физические и юридические лица;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социально-ориентированные некоммерческие организации;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организация проведения оплачиваемых общественных работ, п</w:t>
      </w:r>
      <w:r>
        <w:rPr>
          <w:rFonts w:ascii="Times New Roman" w:hAnsi="Times New Roman"/>
          <w:sz w:val="28"/>
          <w:szCs w:val="28"/>
        </w:rPr>
        <w:t xml:space="preserve">олучателями  по которой являются несовершеннолетние граждане в возрасте от 14 до 18 лет, граждане, п</w:t>
      </w:r>
      <w:r>
        <w:rPr>
          <w:rFonts w:ascii="Times New Roman" w:hAnsi="Times New Roman"/>
          <w:sz w:val="28"/>
          <w:szCs w:val="28"/>
        </w:rPr>
        <w:t xml:space="preserve">ризнанные в установленном порядке безработными, испытывающие трудности в поиске работы, безработные граждане в возрасте от 18 до 25 лет, имеющие среднее профессиональное образование или высшее образование и ищущие работу в течение года с даты выдачи докуме</w:t>
      </w:r>
      <w:r>
        <w:rPr>
          <w:rFonts w:ascii="Times New Roman" w:hAnsi="Times New Roman"/>
          <w:sz w:val="28"/>
          <w:szCs w:val="28"/>
        </w:rPr>
        <w:t xml:space="preserve">нта об образовании и о квалификации. Показателем, характеризующим содержание данной муниципальной услуги, определена численность граждан, приступивших к временным работам. Плановое количество граждан, обратившихся за получением муниципальной услуги, за 202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год составляет </w:t>
      </w:r>
      <w:r>
        <w:rPr>
          <w:rFonts w:ascii="Times New Roman" w:hAnsi="Times New Roman" w:cs="Times New Roman"/>
          <w:sz w:val="28"/>
          <w:szCs w:val="28"/>
        </w:rPr>
        <w:t xml:space="preserve">800. </w:t>
      </w:r>
      <w:r>
        <w:rPr>
          <w:rFonts w:ascii="Times New Roman" w:hAnsi="Times New Roman"/>
          <w:sz w:val="28"/>
          <w:szCs w:val="28"/>
        </w:rPr>
        <w:t xml:space="preserve">Фактически муниципальная услуга оказана </w:t>
      </w:r>
      <w:r>
        <w:rPr>
          <w:rFonts w:ascii="Times New Roman" w:hAnsi="Times New Roman" w:cs="Times New Roman"/>
          <w:sz w:val="28"/>
          <w:szCs w:val="28"/>
        </w:rPr>
        <w:t xml:space="preserve">857 безработным гражданам, что составляет 107% выполнения от планового показателя.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Плановые показатели объема муниципальных услуг, утвержденных муниципальным заданием на 202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год, выполнены учреждением и по фактическому объему составили 1</w:t>
      </w:r>
      <w:r>
        <w:rPr>
          <w:rFonts w:ascii="Times New Roman" w:hAnsi="Times New Roman"/>
          <w:sz w:val="28"/>
          <w:szCs w:val="28"/>
        </w:rPr>
        <w:t xml:space="preserve">03</w:t>
      </w:r>
      <w:r>
        <w:rPr>
          <w:rFonts w:ascii="Times New Roman" w:hAnsi="Times New Roman"/>
          <w:sz w:val="28"/>
          <w:szCs w:val="28"/>
        </w:rPr>
        <w:t xml:space="preserve">%. Жалоб и претензий от получателей в учреждение не поступало, что по показателю, характеризующему качество оказанных муниципальных услуг, составило 100%.</w:t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исполнения программы «Развитие малого и среднего предпринимательства на территории Ханты-Мансийского района» предоставлена и</w:t>
      </w:r>
      <w:r>
        <w:rPr>
          <w:rFonts w:ascii="Times New Roman" w:hAnsi="Times New Roman" w:cs="Times New Roman"/>
          <w:sz w:val="28"/>
          <w:szCs w:val="28"/>
        </w:rPr>
        <w:t xml:space="preserve">мущественная поддержка 13 субъектам малого и среднего предпринимательства, а также 8 физическим лицам, применяющих налог на профессиональный доход, зарегистрированным и осуществляющим свою деятельность на территории Ханты-Мансийского района, путем сдачи в </w:t>
      </w:r>
      <w:bookmarkStart w:id="2" w:name="_Hlk95727873"/>
      <w:r>
        <w:rPr>
          <w:rFonts w:ascii="Times New Roman" w:hAnsi="Times New Roman" w:cs="Times New Roman"/>
          <w:sz w:val="28"/>
          <w:szCs w:val="28"/>
        </w:rPr>
        <w:t xml:space="preserve">аренду нежилых помещений</w:t>
      </w:r>
      <w:bookmarkEnd w:id="2"/>
      <w:r>
        <w:rPr>
          <w:rFonts w:ascii="Times New Roman" w:hAnsi="Times New Roman" w:cs="Times New Roman"/>
          <w:sz w:val="28"/>
          <w:szCs w:val="28"/>
        </w:rPr>
        <w:t xml:space="preserve">, расположенных по следующим адресам: 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административно-хозяйственное здание в пос. Горноправдинск, ул. Киевская, дом 4, корпуса 1, 2 (общая площадь здания 1591,5 кв.м., подлежащая сдаче </w:t>
      </w:r>
      <w:r>
        <w:rPr>
          <w:rFonts w:ascii="Times New Roman" w:hAnsi="Times New Roman" w:cs="Times New Roman"/>
          <w:sz w:val="28"/>
          <w:szCs w:val="28"/>
        </w:rPr>
        <w:t xml:space="preserve">субъектам малого предпринимательства Ханты-Мансийского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1 164,30 кв.м.);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2025 году заключено 31 договор аренды </w:t>
      </w:r>
      <w:r>
        <w:rPr>
          <w:rFonts w:ascii="Times New Roman" w:hAnsi="Times New Roman" w:cs="Times New Roman"/>
          <w:sz w:val="28"/>
          <w:szCs w:val="28"/>
        </w:rPr>
        <w:t xml:space="preserve">нежилых помещений на общую площадь </w:t>
      </w:r>
      <w:r>
        <w:rPr>
          <w:rFonts w:ascii="Times New Roman" w:hAnsi="Times New Roman" w:cs="Times New Roman"/>
          <w:sz w:val="28"/>
          <w:szCs w:val="28"/>
        </w:rPr>
        <w:t xml:space="preserve">687,85</w:t>
      </w:r>
      <w:r>
        <w:rPr>
          <w:rFonts w:ascii="Times New Roman" w:hAnsi="Times New Roman" w:cs="Times New Roman"/>
          <w:sz w:val="28"/>
          <w:szCs w:val="28"/>
        </w:rPr>
        <w:t xml:space="preserve"> кв.м., из которых заключено: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19 договоров с </w:t>
      </w:r>
      <w:r>
        <w:rPr>
          <w:rFonts w:ascii="Times New Roman" w:hAnsi="Times New Roman" w:cs="Times New Roman"/>
          <w:sz w:val="28"/>
          <w:szCs w:val="28"/>
        </w:rPr>
        <w:t xml:space="preserve">субъектами малого предпринимательства Ханты-Мансийского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(площадью 423,1 кв.м.)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3 договора с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 бюджетным учреждение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«К</w:t>
      </w:r>
      <w:r>
        <w:rPr>
          <w:rFonts w:ascii="Times New Roman" w:hAnsi="Times New Roman" w:cs="Times New Roman"/>
          <w:sz w:val="28"/>
          <w:szCs w:val="28"/>
        </w:rPr>
        <w:t xml:space="preserve">ультурно</w:t>
      </w:r>
      <w:r>
        <w:rPr>
          <w:rFonts w:ascii="Times New Roman" w:hAnsi="Times New Roman" w:cs="Times New Roman"/>
          <w:sz w:val="28"/>
          <w:szCs w:val="28"/>
        </w:rPr>
        <w:t xml:space="preserve">-досуговый центр</w:t>
      </w:r>
      <w:r>
        <w:rPr>
          <w:rFonts w:ascii="Times New Roman" w:hAnsi="Times New Roman" w:cs="Times New Roman"/>
          <w:sz w:val="28"/>
          <w:szCs w:val="28"/>
        </w:rPr>
        <w:t xml:space="preserve"> «Геолог» </w:t>
      </w:r>
      <w:r>
        <w:rPr>
          <w:rFonts w:ascii="Times New Roman" w:hAnsi="Times New Roman" w:cs="Times New Roman"/>
          <w:sz w:val="28"/>
          <w:szCs w:val="28"/>
        </w:rPr>
        <w:t xml:space="preserve">(площадью 88,65 кв.м.)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1 договор с </w:t>
      </w:r>
      <w:r>
        <w:rPr>
          <w:rFonts w:ascii="Times New Roman" w:hAnsi="Times New Roman" w:cs="Times New Roman"/>
          <w:sz w:val="28"/>
          <w:szCs w:val="28"/>
        </w:rPr>
        <w:t xml:space="preserve">казённым учреждением Ханты-Мансийского автономного округа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Югры «Агентство социального благополучия населения» </w:t>
      </w:r>
      <w:r>
        <w:rPr>
          <w:rFonts w:ascii="Times New Roman" w:hAnsi="Times New Roman" w:cs="Times New Roman"/>
          <w:sz w:val="28"/>
          <w:szCs w:val="28"/>
        </w:rPr>
        <w:t xml:space="preserve">(площадью 32,4 кв.м.)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8 договоров с самозанятыми гражданами (площадью 143,7 кв.м.).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2025 года учреждением организовано участие представителей Ханты-Мансийского района на мероприятиях: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ярмарки выходного дня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выставка-ярмарка сельскохозяйственных товаропроизводителей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туристский форум «Югра-Тур-2025»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выставка-ярмарка окружных товаропроизводителей «Товары земли Югорской»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этнофестиваль «Югорские обласа»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X</w:t>
      </w:r>
      <w:r>
        <w:rPr>
          <w:sz w:val="28"/>
          <w:szCs w:val="28"/>
          <w:lang w:val="en-US"/>
        </w:rPr>
        <w:t xml:space="preserve">I</w:t>
      </w:r>
      <w:r>
        <w:rPr>
          <w:sz w:val="28"/>
          <w:szCs w:val="28"/>
        </w:rPr>
        <w:t xml:space="preserve"> городской выставка-ярмарка «Дары осени»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X</w:t>
      </w:r>
      <w:r>
        <w:rPr>
          <w:rFonts w:ascii="Times New Roman" w:hAnsi="Times New Roman" w:cs="Times New Roman"/>
          <w:sz w:val="28"/>
          <w:szCs w:val="28"/>
        </w:rPr>
        <w:t xml:space="preserve"> конкурс профессионального мастерства среди оленеводов Ханты-Мансийского автономного округа – Югры на Кубок Губернатора Ханты-Мансийского автономного округа – Югры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Международный заплыв на открытой воде X-WATERS </w:t>
      </w:r>
      <w:r>
        <w:rPr>
          <w:rFonts w:ascii="Times New Roman" w:hAnsi="Times New Roman" w:cs="Times New Roman"/>
          <w:sz w:val="28"/>
          <w:szCs w:val="28"/>
        </w:rPr>
        <w:t xml:space="preserve">Ugra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Федеральная образовательная программа «Добрые города»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Образовательная программа «Современные подходы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обучении взрослых»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Курс повышения квалификации «НКО 360: региональные практики управления»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Всероссийский форум развития гражданского общества «Добрино»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Обучающий интенсив для действующих Добро.Центров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Международный форум гражданского участия #МЫВМЕСТЕ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Благодаря поддержке Губернатора и Правительства Ханты-Мансийского автономного округа – Югры в 202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году на территории района реализовано</w:t>
      </w:r>
      <w:r>
        <w:rPr>
          <w:rFonts w:ascii="Times New Roman" w:hAnsi="Times New Roman" w:cs="Times New Roman"/>
          <w:sz w:val="28"/>
          <w:szCs w:val="28"/>
        </w:rPr>
        <w:br/>
        <w:t xml:space="preserve">7 инициатив на общую сумму 12 224 101,45 рублей: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общество с ограниченной ответственностью </w:t>
      </w:r>
      <w:r>
        <w:rPr>
          <w:rFonts w:ascii="Times New Roman" w:hAnsi="Times New Roman" w:cs="Times New Roman"/>
          <w:sz w:val="28"/>
          <w:szCs w:val="28"/>
        </w:rPr>
        <w:t xml:space="preserve">«Кордон» предоставлен Грант в форме субсидии для реализации проектов, способствующих развитию традиционной хозяйственной деятельности коренных малочисленных народов Севера Ханты-Мансийского автономного округа-Югры в размере 5 млн рублей;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- 5 жителей Ханты-Мансийского района стали победителями конкурса на Грант Губернатора Югры для физических лиц 2025 и получили на реализацию проектов 2,1 млн. рублей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грант Губернатора Югры к 80-летию Победы в Великой Отечественной войне (специальный конкурс) – победитель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автономная некоммерческая организация</w:t>
      </w:r>
      <w:r>
        <w:rPr>
          <w:rFonts w:ascii="Times New Roman" w:hAnsi="Times New Roman" w:cs="Times New Roman"/>
          <w:sz w:val="28"/>
          <w:szCs w:val="28"/>
        </w:rPr>
        <w:t xml:space="preserve"> «Творческая мастерская новых медиа «В объективе» - 657 227 рублей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грант Губернатора Ханты - Мансийского автономного округа – Югры на развитие гражданского общества в 2025 году социально ориентированным некоммерческим организациям был получен </w:t>
      </w:r>
      <w:r>
        <w:rPr>
          <w:rFonts w:ascii="Times New Roman" w:hAnsi="Times New Roman" w:cs="Times New Roman"/>
          <w:sz w:val="28"/>
          <w:szCs w:val="28"/>
        </w:rPr>
        <w:t xml:space="preserve">автономной некоммерческой организацией</w:t>
      </w:r>
      <w:r>
        <w:rPr>
          <w:rFonts w:ascii="Times New Roman" w:hAnsi="Times New Roman" w:cs="Times New Roman"/>
          <w:sz w:val="28"/>
          <w:szCs w:val="28"/>
        </w:rPr>
        <w:t xml:space="preserve"> «Творческая мастерская новых медиа «В объективе» - 240 400 рублей, </w:t>
      </w:r>
      <w:r>
        <w:rPr>
          <w:rFonts w:ascii="Times New Roman" w:hAnsi="Times New Roman" w:cs="Times New Roman"/>
          <w:sz w:val="28"/>
          <w:szCs w:val="28"/>
        </w:rPr>
        <w:t xml:space="preserve">автономной некоммерческой организацией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Центр сохранения и развития культуры народов ханты и манси «Мощ хот» (Сказочный дом)» – 1 372 080 руб., </w:t>
      </w:r>
      <w:r>
        <w:rPr>
          <w:rFonts w:ascii="Times New Roman" w:hAnsi="Times New Roman" w:cs="Times New Roman"/>
          <w:sz w:val="28"/>
          <w:szCs w:val="28"/>
        </w:rPr>
        <w:t xml:space="preserve">автономной некоммерческой организацией</w:t>
      </w:r>
      <w:r>
        <w:rPr>
          <w:rFonts w:ascii="Times New Roman" w:hAnsi="Times New Roman" w:cs="Times New Roman"/>
          <w:sz w:val="28"/>
          <w:szCs w:val="28"/>
        </w:rPr>
        <w:t xml:space="preserve"> «Центр поддержки ветеранов (пенсионеров) Ханты-Мансийского района «Серебряный возраст» – 689 854 руб.;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- 5 жителей Ханты-Мансийского района стали победителями Грантов</w:t>
      </w:r>
      <w:r>
        <w:rPr>
          <w:rFonts w:ascii="Times New Roman" w:hAnsi="Times New Roman" w:cs="Times New Roman"/>
          <w:sz w:val="28"/>
          <w:szCs w:val="28"/>
        </w:rPr>
        <w:t xml:space="preserve">ого</w:t>
      </w:r>
      <w:r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«Родные города» и успешно реализовали проекты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Ханты-Мансийского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на общую сумму 1,7 млн. рублей (Суровикина Екатерина Сергеевна, Алясова Лидия Александровна, Слинкина Ольга Васильевна, Конева Ольга Егоровна, Мозер Нина Николаевна)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конкурсе на предоставление грантов 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убернатора на поддержку общественно значимых проектов в сфере культуры, искусства и креативных (творческих) индустрий в 2025 году стала победителем </w:t>
      </w:r>
      <w:r>
        <w:rPr>
          <w:rFonts w:ascii="Times New Roman" w:hAnsi="Times New Roman" w:cs="Times New Roman"/>
          <w:sz w:val="28"/>
          <w:szCs w:val="28"/>
        </w:rPr>
        <w:t xml:space="preserve">автономная некоммерческая организация</w:t>
      </w:r>
      <w:r>
        <w:rPr>
          <w:rFonts w:ascii="Times New Roman" w:hAnsi="Times New Roman" w:cs="Times New Roman"/>
          <w:sz w:val="28"/>
          <w:szCs w:val="28"/>
        </w:rPr>
        <w:t xml:space="preserve"> «Творческая мастерская новых медиа «В объективе» - 476 448 рублей.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консультационной и организационной поддержке Ресур</w:t>
      </w:r>
      <w:r>
        <w:rPr>
          <w:rFonts w:ascii="Times New Roman" w:hAnsi="Times New Roman" w:cs="Times New Roman"/>
          <w:sz w:val="28"/>
          <w:szCs w:val="28"/>
        </w:rPr>
        <w:t xml:space="preserve">сного центра два проекта (авторы: Кошелева Т.С. п. Луговской, Воронцова Ю.В. с. Батово) покорили жюри и стали призёрами регионального этапа Международной премии #МЫВМЕСТЕ. Проект «Родное тепло» ХМРН (автор Кошелева Татьяна, п. Луговской) вышел в полуфинал.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13 начинающим предпринимателям, самозанятым гражданам, планирующим осуществлять деятельность на территории района, из бюджета автономного округа предоставлены субсидии на создание собственного дела в общей сумме 2,15 млн рублей.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соответствие с постановлением Администрации Ханты-Мансийского района от 25 июля 2018 года № 212 «Об утвер</w:t>
      </w:r>
      <w:r>
        <w:rPr>
          <w:rFonts w:ascii="Times New Roman" w:hAnsi="Times New Roman" w:cs="Times New Roman"/>
          <w:sz w:val="28"/>
          <w:szCs w:val="28"/>
        </w:rPr>
        <w:t xml:space="preserve">ждении Положения о Ресурсном центр поддержке социально ориентированных некоммерческих организаций на территории Ханты-Мансийского района» (с изменения на 26.11.2021) функции Ресурсного центра на территории Ханты-Мансийского района возложены на учреждение.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2025 году Ресурсный центр оказал содействие 2 гражданам в регистрации социально ориентированных некоммерческих организации: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втономная некоммерческая организация «Центр содействия развитию и сохранению культуры «Геолог» 04.04.2025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втономная некоммерческая организация по развитию мотодвижения «Выхлоп 86»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26.12.2025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 социальных проектов стали участниками федеральных, региональных и муниципальных конкурсах: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конкурс на предоставление грантов Президента Российской Федерации на реализацию проектов в области культуры, искусства и креативных (творческих) индустрий – 3;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грант Губернатора Югры для СО НКО – 14;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Международная премия #МЫВМЕСТЕ - 13;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Родные Города - 2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счет деятельности учреждения </w:t>
      </w:r>
      <w:r>
        <w:rPr>
          <w:rFonts w:ascii="Times New Roman" w:hAnsi="Times New Roman" w:cs="Times New Roman"/>
          <w:sz w:val="28"/>
          <w:szCs w:val="28"/>
        </w:rPr>
        <w:t xml:space="preserve">привлекли в </w:t>
      </w:r>
      <w:r>
        <w:rPr>
          <w:rFonts w:ascii="Times New Roman" w:hAnsi="Times New Roman" w:cs="Times New Roman"/>
          <w:sz w:val="28"/>
          <w:szCs w:val="28"/>
        </w:rPr>
        <w:t xml:space="preserve">Ханты-Мансийский район </w:t>
      </w:r>
      <w:r>
        <w:rPr>
          <w:rFonts w:ascii="Times New Roman" w:hAnsi="Times New Roman" w:cs="Times New Roman"/>
          <w:sz w:val="28"/>
          <w:szCs w:val="28"/>
        </w:rPr>
        <w:t xml:space="preserve">привлекли в муниципальное образование 7 224 101 рублей.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Размещено 132</w:t>
      </w:r>
      <w:r>
        <w:rPr>
          <w:rFonts w:ascii="Times New Roman" w:hAnsi="Times New Roman" w:cs="Times New Roman"/>
          <w:sz w:val="28"/>
          <w:szCs w:val="28"/>
        </w:rPr>
        <w:t xml:space="preserve"> информационных сообщения о деятельности некоммерческих организаций и добровольческих (волонтерских) организаций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объединений в социальных сетях </w:t>
      </w:r>
      <w:r>
        <w:rPr>
          <w:rFonts w:ascii="Times New Roman" w:hAnsi="Times New Roman" w:cs="Times New Roman"/>
          <w:sz w:val="28"/>
          <w:szCs w:val="28"/>
        </w:rPr>
        <w:t xml:space="preserve">учреждения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средствах массовой информации</w:t>
      </w:r>
      <w:r>
        <w:rPr>
          <w:rFonts w:ascii="Times New Roman" w:hAnsi="Times New Roman" w:cs="Times New Roman"/>
          <w:sz w:val="28"/>
          <w:szCs w:val="28"/>
        </w:rPr>
        <w:t xml:space="preserve"> Ханты-Мансийского района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Количество подписчиков ВК - 404, ОК-49, ТГ - 224.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367 человек принял участие в 17 образовательных активностях по развитию компетенций в некоммерческом секторе, в том числе: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- 21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круглый стол в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21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населенном пункте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Ханты-Мансийского района для активных и инициативных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граждан,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представителей культурной, образовательной и социальной сфер была доведена информация о грантовой поддержке, существующей как на региональном уровне, так и на федеральном. Были рассмотрены идеи, которые в будущем переросли в интересные социальные проекты;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</w:p>
    <w:p>
      <w:pPr>
        <w:jc w:val="both"/>
        <w:spacing w:after="0" w:line="240" w:lineRule="auto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- вебинар «Отчетность некоммерческих организаций»;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</w:p>
    <w:p>
      <w:pPr>
        <w:jc w:val="both"/>
        <w:spacing w:after="0" w:line="240" w:lineRule="auto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- слет некоммерческих организаций Ханты-Мансийского района;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</w:p>
    <w:p>
      <w:pPr>
        <w:jc w:val="both"/>
        <w:spacing w:after="0" w:line="240" w:lineRule="auto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- онлайн обучение «Бухгалтерия в НКО»;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</w:p>
    <w:p>
      <w:pPr>
        <w:jc w:val="both"/>
        <w:spacing w:after="0" w:line="240" w:lineRule="auto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- форуме социального предпринимательства и партнерства в Ханты-Мансийском районе;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</w:p>
    <w:p>
      <w:pPr>
        <w:jc w:val="both"/>
        <w:spacing w:after="0" w:line="240" w:lineRule="auto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- 2 образовательных семинара «От идеи к проекту» (п. Горноправдинск, п. Кирпичный».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</w:p>
    <w:p>
      <w:pPr>
        <w:jc w:val="both"/>
        <w:spacing w:after="0" w:line="240" w:lineRule="auto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ab/>
        <w:t xml:space="preserve">На базе муниципального автономного учреждения «Организационно-методический центр» функционирует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Добро.Центр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. По итогам мониторинга работы в 2025 году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Добро.Центр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вошел в ТОП 150 Добро.Центров России.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</w:p>
    <w:p>
      <w:pPr>
        <w:jc w:val="both"/>
        <w:spacing w:after="0" w:line="240" w:lineRule="auto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ab/>
        <w:t xml:space="preserve">Организован сбор гуманитарной помощи для мобилизованных, сформирован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ы индивидуальные пакеты для мобилизованных, включающих продукты питания, изделия медицинского назначения, текстиль, военные аксессуары, а также собраны предметы для общего пользования, теплые вещи. Всего за 2025 год отправлено 3 150 кг гуманитарной помощи.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</w:p>
    <w:p>
      <w:pPr>
        <w:pStyle w:val="68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2026 году учреждением планируется продолжение работы по вышеуказанным направлениям деятельности.</w:t>
      </w:r>
      <w:r>
        <w:rPr>
          <w:rFonts w:ascii="Times New Roman" w:hAnsi="Times New Roman" w:cs="Times New Roman"/>
          <w:sz w:val="28"/>
          <w:szCs w:val="28"/>
        </w:rPr>
      </w:r>
    </w:p>
    <w:sectPr>
      <w:footerReference w:type="default" r:id="rId9"/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069224002"/>
      <w:rPr/>
    </w:sdtPr>
    <w:sdtContent>
      <w:p>
        <w:pPr>
          <w:pStyle w:val="682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 xml:space="preserve">6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/>
      </w:pPr>
      <w:r>
        <w:separator/>
      </w:r>
      <w:r/>
    </w:p>
  </w:footnote>
  <w:footnote w:type="continuationSeparator" w:id="0">
    <w:p>
      <w:pPr>
        <w:spacing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75"/>
    <w:next w:val="67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76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75"/>
    <w:next w:val="67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76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5"/>
    <w:next w:val="67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76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5"/>
    <w:next w:val="67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6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5"/>
    <w:next w:val="67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6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5"/>
    <w:next w:val="67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5"/>
    <w:next w:val="67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5"/>
    <w:next w:val="67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5"/>
    <w:next w:val="67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75"/>
    <w:next w:val="67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76"/>
    <w:link w:val="34"/>
    <w:uiPriority w:val="10"/>
    <w:rPr>
      <w:sz w:val="48"/>
      <w:szCs w:val="48"/>
    </w:rPr>
  </w:style>
  <w:style w:type="paragraph" w:styleId="36">
    <w:name w:val="Subtitle"/>
    <w:basedOn w:val="675"/>
    <w:next w:val="67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76"/>
    <w:link w:val="36"/>
    <w:uiPriority w:val="11"/>
    <w:rPr>
      <w:sz w:val="24"/>
      <w:szCs w:val="24"/>
    </w:rPr>
  </w:style>
  <w:style w:type="paragraph" w:styleId="38">
    <w:name w:val="Quote"/>
    <w:basedOn w:val="675"/>
    <w:next w:val="67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5"/>
    <w:next w:val="67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76"/>
    <w:link w:val="681"/>
    <w:uiPriority w:val="99"/>
  </w:style>
  <w:style w:type="character" w:styleId="45">
    <w:name w:val="Footer Char"/>
    <w:basedOn w:val="676"/>
    <w:link w:val="682"/>
    <w:uiPriority w:val="99"/>
  </w:style>
  <w:style w:type="paragraph" w:styleId="46">
    <w:name w:val="Caption"/>
    <w:basedOn w:val="675"/>
    <w:next w:val="67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82"/>
    <w:uiPriority w:val="99"/>
  </w:style>
  <w:style w:type="table" w:styleId="49">
    <w:name w:val="Table Grid Light"/>
    <w:basedOn w:val="6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7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76"/>
    <w:uiPriority w:val="99"/>
    <w:unhideWhenUsed/>
    <w:rPr>
      <w:vertAlign w:val="superscript"/>
    </w:rPr>
  </w:style>
  <w:style w:type="paragraph" w:styleId="178">
    <w:name w:val="endnote text"/>
    <w:basedOn w:val="67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6"/>
    <w:uiPriority w:val="99"/>
    <w:semiHidden/>
    <w:unhideWhenUsed/>
    <w:rPr>
      <w:vertAlign w:val="superscript"/>
    </w:rPr>
  </w:style>
  <w:style w:type="paragraph" w:styleId="181">
    <w:name w:val="toc 1"/>
    <w:basedOn w:val="675"/>
    <w:next w:val="67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5"/>
    <w:next w:val="67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5"/>
    <w:next w:val="67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5"/>
    <w:next w:val="67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5"/>
    <w:next w:val="67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5"/>
    <w:next w:val="67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5"/>
    <w:next w:val="67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5"/>
    <w:next w:val="67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5"/>
    <w:next w:val="67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5"/>
    <w:next w:val="675"/>
    <w:uiPriority w:val="99"/>
    <w:unhideWhenUsed/>
    <w:pPr>
      <w:spacing w:after="0" w:afterAutospacing="0"/>
    </w:pPr>
  </w:style>
  <w:style w:type="paragraph" w:styleId="675" w:default="1">
    <w:name w:val="Normal"/>
    <w:qFormat/>
    <w:pPr>
      <w:spacing w:after="200" w:line="276" w:lineRule="auto"/>
    </w:pPr>
    <w:rPr>
      <w:sz w:val="22"/>
      <w:szCs w:val="22"/>
    </w:rPr>
  </w:style>
  <w:style w:type="character" w:styleId="676" w:default="1">
    <w:name w:val="Default Paragraph Font"/>
    <w:uiPriority w:val="1"/>
    <w:semiHidden/>
    <w:unhideWhenUsed/>
  </w:style>
  <w:style w:type="table" w:styleId="67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8" w:default="1">
    <w:name w:val="No List"/>
    <w:uiPriority w:val="99"/>
    <w:semiHidden/>
    <w:unhideWhenUsed/>
  </w:style>
  <w:style w:type="character" w:styleId="679">
    <w:name w:val="Hyperlink"/>
    <w:basedOn w:val="676"/>
    <w:uiPriority w:val="99"/>
    <w:unhideWhenUsed/>
    <w:qFormat/>
    <w:rPr>
      <w:color w:val="0000ff" w:themeColor="hyperlink"/>
      <w:u w:val="single"/>
    </w:rPr>
  </w:style>
  <w:style w:type="paragraph" w:styleId="680">
    <w:name w:val="Balloon Text"/>
    <w:basedOn w:val="675"/>
    <w:link w:val="68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81">
    <w:name w:val="Header"/>
    <w:basedOn w:val="675"/>
    <w:link w:val="688"/>
    <w:uiPriority w:val="99"/>
    <w:unhideWhenUsed/>
    <w:qFormat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682">
    <w:name w:val="Footer"/>
    <w:basedOn w:val="675"/>
    <w:link w:val="689"/>
    <w:uiPriority w:val="99"/>
    <w:unhideWhenUsed/>
    <w:qFormat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683">
    <w:name w:val="Normal (Web)"/>
    <w:basedOn w:val="675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684">
    <w:name w:val="Table Grid"/>
    <w:basedOn w:val="677"/>
    <w:uiPriority w:val="59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85">
    <w:name w:val="List Paragraph"/>
    <w:basedOn w:val="675"/>
    <w:uiPriority w:val="34"/>
    <w:qFormat/>
    <w:pPr>
      <w:contextualSpacing/>
      <w:ind w:left="720"/>
    </w:pPr>
  </w:style>
  <w:style w:type="paragraph" w:styleId="686">
    <w:name w:val="No Spacing"/>
    <w:uiPriority w:val="1"/>
    <w:qFormat/>
    <w:rPr>
      <w:sz w:val="22"/>
      <w:szCs w:val="22"/>
    </w:rPr>
  </w:style>
  <w:style w:type="character" w:styleId="687" w:customStyle="1">
    <w:name w:val="Текст выноски Знак"/>
    <w:basedOn w:val="676"/>
    <w:link w:val="680"/>
    <w:uiPriority w:val="99"/>
    <w:semiHidden/>
    <w:qFormat/>
    <w:rPr>
      <w:rFonts w:ascii="Tahoma" w:hAnsi="Tahoma" w:cs="Tahoma"/>
      <w:sz w:val="16"/>
      <w:szCs w:val="16"/>
    </w:rPr>
  </w:style>
  <w:style w:type="character" w:styleId="688" w:customStyle="1">
    <w:name w:val="Верхний колонтитул Знак"/>
    <w:basedOn w:val="676"/>
    <w:link w:val="681"/>
    <w:uiPriority w:val="99"/>
    <w:qFormat/>
  </w:style>
  <w:style w:type="character" w:styleId="689" w:customStyle="1">
    <w:name w:val="Нижний колонтитул Знак"/>
    <w:basedOn w:val="676"/>
    <w:link w:val="682"/>
    <w:uiPriority w:val="99"/>
    <w:qFormat/>
  </w:style>
  <w:style w:type="paragraph" w:styleId="690" w:customStyle="1">
    <w:name w:val="Основной текст с отступом 31"/>
    <w:basedOn w:val="675"/>
    <w:qFormat/>
    <w:pPr>
      <w:ind w:left="444"/>
      <w:jc w:val="both"/>
      <w:spacing w:after="0" w:line="360" w:lineRule="auto"/>
    </w:pPr>
    <w:rPr>
      <w:rFonts w:ascii="Times New Roman" w:hAnsi="Times New Roman" w:eastAsia="Times New Roman" w:cs="Times New Roman"/>
      <w:sz w:val="28"/>
      <w:szCs w:val="24"/>
      <w:lang w:eastAsia="ar-SA"/>
    </w:rPr>
  </w:style>
  <w:style w:type="paragraph" w:styleId="691" w:customStyle="1">
    <w:name w:val="consnonformat"/>
    <w:basedOn w:val="675"/>
    <w:qFormat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692" w:customStyle="1">
    <w:name w:val="mrcssattr"/>
    <w:basedOn w:val="675"/>
    <w:uiPriority w:val="99"/>
    <w:semiHidden/>
    <w:qFormat/>
    <w:pPr>
      <w:spacing w:before="100" w:beforeAutospacing="1" w:after="100" w:afterAutospacing="1" w:line="240" w:lineRule="auto"/>
    </w:pPr>
    <w:rPr>
      <w:rFonts w:ascii="Times New Roman" w:hAnsi="Times New Roman" w:cs="Times New Roman" w:eastAsiaTheme="minorHAnsi"/>
      <w:sz w:val="24"/>
      <w:szCs w:val="24"/>
    </w:rPr>
  </w:style>
  <w:style w:type="paragraph" w:styleId="693" w:customStyle="1">
    <w:name w:val="Default"/>
    <w:qFormat/>
    <w:rPr>
      <w:rFonts w:ascii="Times New Roman" w:hAnsi="Times New Roman" w:cs="Times New Roman" w:eastAsiaTheme="minorHAnsi"/>
      <w:color w:val="000000"/>
      <w:sz w:val="24"/>
      <w:szCs w:val="24"/>
      <w:lang w:eastAsia="en-US"/>
    </w:rPr>
  </w:style>
  <w:style w:type="character" w:styleId="694" w:customStyle="1">
    <w:name w:val="Неразрешенное упоминание1"/>
    <w:basedOn w:val="676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754E5-5E9E-44EB-93F7-07AE76E93730}"/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Krokoz™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19</cp:revision>
  <dcterms:created xsi:type="dcterms:W3CDTF">2025-06-02T12:58:00Z</dcterms:created>
  <dcterms:modified xsi:type="dcterms:W3CDTF">2026-06-17T04:31:59Z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eyJoZGlkIjoiMWE4OGRhYjk2MTRmN2ZiODkyYjY4ODk5MzliMjQ2MDkiLCJ1c2VySWQiOiI4MjQ2MzQ5OTgwNDEifQ==</vt:lpwstr>
  </property>
  <property fmtid="{D5CDD505-2E9C-101B-9397-08002B2CF9AE}" pid="3" name="KSOProductBuildVer">
    <vt:lpwstr>1049-12.1.0.26880</vt:lpwstr>
  </property>
  <property fmtid="{D5CDD505-2E9C-101B-9397-08002B2CF9AE}" pid="4" name="ICV">
    <vt:lpwstr>D0387673CFA546AE9DB4751BB17F88DC_12</vt:lpwstr>
  </property>
</Properties>
</file>